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22" w:rsidRDefault="00AC1222" w:rsidP="00AC1222">
      <w:pPr>
        <w:pStyle w:val="Default"/>
        <w:jc w:val="center"/>
        <w:rPr>
          <w:b/>
          <w:bCs/>
          <w:sz w:val="22"/>
          <w:szCs w:val="22"/>
        </w:rPr>
      </w:pPr>
      <w:r>
        <w:rPr>
          <w:b/>
          <w:bCs/>
          <w:noProof/>
          <w:sz w:val="22"/>
          <w:szCs w:val="22"/>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-746760</wp:posOffset>
            </wp:positionV>
            <wp:extent cx="1066800" cy="1043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1043305"/>
                    </a:xfrm>
                    <a:prstGeom prst="rect">
                      <a:avLst/>
                    </a:prstGeom>
                  </pic:spPr>
                </pic:pic>
              </a:graphicData>
            </a:graphic>
            <wp14:sizeRelH relativeFrom="page">
              <wp14:pctWidth>0</wp14:pctWidth>
            </wp14:sizeRelH>
            <wp14:sizeRelV relativeFrom="page">
              <wp14:pctHeight>0</wp14:pctHeight>
            </wp14:sizeRelV>
          </wp:anchor>
        </w:drawing>
      </w:r>
    </w:p>
    <w:p w:rsidR="00AC1222" w:rsidRDefault="00AC1222" w:rsidP="00AC1222">
      <w:pPr>
        <w:pStyle w:val="Default"/>
        <w:jc w:val="center"/>
        <w:rPr>
          <w:b/>
          <w:bCs/>
          <w:sz w:val="22"/>
          <w:szCs w:val="22"/>
        </w:rPr>
      </w:pPr>
    </w:p>
    <w:p w:rsidR="00392254" w:rsidRDefault="00392254" w:rsidP="00AC1222">
      <w:pPr>
        <w:pStyle w:val="Default"/>
        <w:jc w:val="center"/>
        <w:rPr>
          <w:b/>
          <w:bCs/>
          <w:sz w:val="22"/>
          <w:szCs w:val="22"/>
        </w:rPr>
      </w:pPr>
    </w:p>
    <w:p w:rsidR="00AC1222" w:rsidRDefault="00AC1222" w:rsidP="00AC1222">
      <w:pPr>
        <w:pStyle w:val="Default"/>
        <w:jc w:val="center"/>
        <w:rPr>
          <w:sz w:val="22"/>
          <w:szCs w:val="22"/>
        </w:rPr>
      </w:pPr>
      <w:r>
        <w:rPr>
          <w:b/>
          <w:bCs/>
          <w:sz w:val="22"/>
          <w:szCs w:val="22"/>
        </w:rPr>
        <w:t>Forensic and Medical Examinations for Rape and Sexual Assault (FMERSA) 202</w:t>
      </w:r>
      <w:r w:rsidR="00A00BFF">
        <w:rPr>
          <w:b/>
          <w:bCs/>
          <w:sz w:val="22"/>
          <w:szCs w:val="22"/>
        </w:rPr>
        <w:t>3</w:t>
      </w:r>
    </w:p>
    <w:p w:rsidR="00AC1222" w:rsidRDefault="00801D5C" w:rsidP="00AC1222">
      <w:pPr>
        <w:pStyle w:val="Default"/>
        <w:jc w:val="center"/>
        <w:rPr>
          <w:b/>
          <w:bCs/>
          <w:sz w:val="22"/>
          <w:szCs w:val="22"/>
        </w:rPr>
      </w:pPr>
      <w:r>
        <w:rPr>
          <w:b/>
          <w:bCs/>
          <w:sz w:val="22"/>
          <w:szCs w:val="22"/>
        </w:rPr>
        <w:t>Blocks A,B and C delivered online</w:t>
      </w:r>
      <w:r>
        <w:rPr>
          <w:b/>
          <w:bCs/>
          <w:sz w:val="22"/>
          <w:szCs w:val="22"/>
        </w:rPr>
        <w:br/>
        <w:t>Block D in person at University of Manchester Innovation Centre</w:t>
      </w:r>
      <w:bookmarkStart w:id="0" w:name="_GoBack"/>
      <w:bookmarkEnd w:id="0"/>
    </w:p>
    <w:p w:rsidR="00AC1222" w:rsidRDefault="00AC1222" w:rsidP="00AC1222">
      <w:pPr>
        <w:pStyle w:val="Default"/>
        <w:jc w:val="center"/>
        <w:rPr>
          <w:sz w:val="22"/>
          <w:szCs w:val="22"/>
        </w:rPr>
      </w:pPr>
    </w:p>
    <w:p w:rsidR="00AC1222" w:rsidRDefault="00AC1222" w:rsidP="00AC1222">
      <w:pPr>
        <w:pStyle w:val="Default"/>
        <w:jc w:val="center"/>
        <w:rPr>
          <w:sz w:val="22"/>
          <w:szCs w:val="22"/>
        </w:rPr>
      </w:pPr>
    </w:p>
    <w:p w:rsidR="00AC1222" w:rsidRDefault="00AC1222" w:rsidP="00AC1222">
      <w:pPr>
        <w:pStyle w:val="Default"/>
        <w:jc w:val="center"/>
        <w:rPr>
          <w:sz w:val="22"/>
          <w:szCs w:val="22"/>
        </w:rPr>
      </w:pPr>
      <w:r>
        <w:rPr>
          <w:sz w:val="22"/>
          <w:szCs w:val="22"/>
        </w:rPr>
        <w:t>This two-module course presents doctors and nurses with the opportunity to train towards conducting forensic medical examinations of rape and sexual assault victims, under the direction of the UK’s longest established sexual assault referral centre</w:t>
      </w:r>
      <w:r w:rsidR="00F62265">
        <w:rPr>
          <w:sz w:val="22"/>
          <w:szCs w:val="22"/>
        </w:rPr>
        <w:t>.</w:t>
      </w:r>
    </w:p>
    <w:p w:rsidR="00F62265" w:rsidRPr="00F62265" w:rsidRDefault="00F62265" w:rsidP="00F62265">
      <w:pPr>
        <w:pStyle w:val="Default"/>
        <w:jc w:val="center"/>
        <w:rPr>
          <w:sz w:val="22"/>
          <w:szCs w:val="22"/>
        </w:rPr>
      </w:pPr>
    </w:p>
    <w:p w:rsidR="00F62265" w:rsidRDefault="00F62265" w:rsidP="00F62265">
      <w:pPr>
        <w:pStyle w:val="Default"/>
        <w:jc w:val="center"/>
        <w:rPr>
          <w:sz w:val="22"/>
          <w:szCs w:val="22"/>
        </w:rPr>
      </w:pPr>
      <w:r w:rsidRPr="00F62265">
        <w:rPr>
          <w:sz w:val="22"/>
          <w:szCs w:val="22"/>
        </w:rPr>
        <w:t xml:space="preserve">The course includes the medical, psychological, social and legal aspects of rape and sexual assault, focusing on the forensic medical examination, the collection of evidence, statement writing and testimony at court. The curriculum covered will help clinicians prepare to take the Membership or the Licentiate exam of the Faculty of Forensic and Legal Medicine. </w:t>
      </w:r>
    </w:p>
    <w:p w:rsidR="00F62265" w:rsidRPr="00F62265" w:rsidRDefault="00F62265" w:rsidP="00F62265">
      <w:pPr>
        <w:pStyle w:val="Default"/>
        <w:jc w:val="center"/>
        <w:rPr>
          <w:sz w:val="22"/>
          <w:szCs w:val="22"/>
        </w:rPr>
      </w:pPr>
    </w:p>
    <w:p w:rsidR="00F62265" w:rsidRPr="00F62265" w:rsidRDefault="00F62265" w:rsidP="00F62265">
      <w:pPr>
        <w:pStyle w:val="Default"/>
        <w:jc w:val="center"/>
        <w:rPr>
          <w:b/>
          <w:sz w:val="22"/>
          <w:szCs w:val="22"/>
        </w:rPr>
      </w:pPr>
      <w:r w:rsidRPr="00F62265">
        <w:rPr>
          <w:b/>
          <w:sz w:val="22"/>
          <w:szCs w:val="22"/>
        </w:rPr>
        <w:t>Module One – Principles</w:t>
      </w:r>
    </w:p>
    <w:p w:rsidR="00F62265" w:rsidRPr="00F62265" w:rsidRDefault="00F62265" w:rsidP="00F62265">
      <w:pPr>
        <w:pStyle w:val="Default"/>
        <w:jc w:val="center"/>
        <w:rPr>
          <w:sz w:val="22"/>
          <w:szCs w:val="22"/>
        </w:rPr>
      </w:pPr>
    </w:p>
    <w:p w:rsidR="00F62265" w:rsidRDefault="00F62265" w:rsidP="00F62265">
      <w:pPr>
        <w:pStyle w:val="Default"/>
        <w:jc w:val="center"/>
        <w:rPr>
          <w:sz w:val="22"/>
          <w:szCs w:val="22"/>
        </w:rPr>
      </w:pPr>
      <w:r w:rsidRPr="00F62265">
        <w:rPr>
          <w:sz w:val="22"/>
          <w:szCs w:val="22"/>
        </w:rPr>
        <w:t xml:space="preserve">This module provides a comprehensive introduction to the forensic medical examination, including classifying and documenting injuries. The wider criminal justice context of police and legal processes are also explored, as well as forensic science, ethics, child protection, statement writing, and social and psychological issues. </w:t>
      </w:r>
    </w:p>
    <w:p w:rsidR="00F62265" w:rsidRPr="00F62265" w:rsidRDefault="00F62265" w:rsidP="00F62265">
      <w:pPr>
        <w:pStyle w:val="Default"/>
        <w:jc w:val="center"/>
        <w:rPr>
          <w:b/>
          <w:sz w:val="22"/>
          <w:szCs w:val="22"/>
        </w:rPr>
      </w:pPr>
    </w:p>
    <w:p w:rsidR="00F62265" w:rsidRPr="00F62265" w:rsidRDefault="00F62265" w:rsidP="00F62265">
      <w:pPr>
        <w:pStyle w:val="Default"/>
        <w:jc w:val="center"/>
        <w:rPr>
          <w:b/>
          <w:sz w:val="22"/>
          <w:szCs w:val="22"/>
        </w:rPr>
      </w:pPr>
      <w:r w:rsidRPr="00F62265">
        <w:rPr>
          <w:b/>
          <w:sz w:val="22"/>
          <w:szCs w:val="22"/>
        </w:rPr>
        <w:t>Module Two – Practice</w:t>
      </w:r>
    </w:p>
    <w:p w:rsidR="00F62265" w:rsidRPr="00F62265" w:rsidRDefault="00F62265" w:rsidP="00F62265">
      <w:pPr>
        <w:pStyle w:val="Default"/>
        <w:jc w:val="center"/>
        <w:rPr>
          <w:sz w:val="22"/>
          <w:szCs w:val="22"/>
        </w:rPr>
      </w:pPr>
    </w:p>
    <w:p w:rsidR="00AC1222" w:rsidRDefault="00F62265" w:rsidP="00F62265">
      <w:pPr>
        <w:pStyle w:val="Default"/>
        <w:jc w:val="center"/>
        <w:rPr>
          <w:sz w:val="22"/>
          <w:szCs w:val="22"/>
        </w:rPr>
      </w:pPr>
      <w:r w:rsidRPr="00F62265">
        <w:rPr>
          <w:sz w:val="22"/>
          <w:szCs w:val="22"/>
        </w:rPr>
        <w:t>This module provides a deeper level of detail around forensic medical and medico-legal aspects of work with rape and sexual assault. With a strong focus on the practical, the module includes paediatric examination and role of the professional witness. Further subjects include criminology, forensic odontology, effects of drugs and age, vulnerable adults, psychological effects and advanced legal issues including statement writing and court role play.</w:t>
      </w:r>
    </w:p>
    <w:p w:rsidR="00AC1222" w:rsidRDefault="00AC1222" w:rsidP="00AC1222">
      <w:pPr>
        <w:pStyle w:val="Default"/>
        <w:jc w:val="center"/>
        <w:rPr>
          <w:sz w:val="22"/>
          <w:szCs w:val="22"/>
        </w:rPr>
      </w:pPr>
    </w:p>
    <w:p w:rsidR="00AC1222" w:rsidRDefault="00AC1222" w:rsidP="00AC1222">
      <w:pPr>
        <w:pStyle w:val="Default"/>
        <w:jc w:val="center"/>
        <w:rPr>
          <w:sz w:val="22"/>
          <w:szCs w:val="22"/>
        </w:rPr>
      </w:pPr>
      <w:r w:rsidRPr="00AC1222">
        <w:rPr>
          <w:b/>
          <w:sz w:val="22"/>
          <w:szCs w:val="22"/>
        </w:rPr>
        <w:t>Dates for 202</w:t>
      </w:r>
      <w:r w:rsidR="00A00BFF">
        <w:rPr>
          <w:b/>
          <w:sz w:val="22"/>
          <w:szCs w:val="22"/>
        </w:rPr>
        <w:t>3</w:t>
      </w:r>
    </w:p>
    <w:tbl>
      <w:tblPr>
        <w:tblStyle w:val="TableGrid"/>
        <w:tblpPr w:leftFromText="180" w:rightFromText="180" w:vertAnchor="text" w:horzAnchor="margin" w:tblpXSpec="center" w:tblpY="19"/>
        <w:tblW w:w="0" w:type="auto"/>
        <w:tblLook w:val="04A0" w:firstRow="1" w:lastRow="0" w:firstColumn="1" w:lastColumn="0" w:noHBand="0" w:noVBand="1"/>
      </w:tblPr>
      <w:tblGrid>
        <w:gridCol w:w="1951"/>
        <w:gridCol w:w="1418"/>
        <w:gridCol w:w="1984"/>
        <w:gridCol w:w="1701"/>
      </w:tblGrid>
      <w:tr w:rsidR="00AC1222" w:rsidTr="00AC1222">
        <w:tc>
          <w:tcPr>
            <w:tcW w:w="3369" w:type="dxa"/>
            <w:gridSpan w:val="2"/>
            <w:tcBorders>
              <w:bottom w:val="single" w:sz="4" w:space="0" w:color="auto"/>
            </w:tcBorders>
          </w:tcPr>
          <w:p w:rsidR="00AC1222" w:rsidRPr="00AC1222" w:rsidRDefault="00AC1222" w:rsidP="00AC1222">
            <w:pPr>
              <w:jc w:val="center"/>
              <w:rPr>
                <w:b/>
              </w:rPr>
            </w:pPr>
            <w:r w:rsidRPr="00AC1222">
              <w:rPr>
                <w:b/>
              </w:rPr>
              <w:t>Module 1</w:t>
            </w:r>
          </w:p>
        </w:tc>
        <w:tc>
          <w:tcPr>
            <w:tcW w:w="3685" w:type="dxa"/>
            <w:gridSpan w:val="2"/>
            <w:tcBorders>
              <w:bottom w:val="single" w:sz="4" w:space="0" w:color="auto"/>
            </w:tcBorders>
          </w:tcPr>
          <w:p w:rsidR="00AC1222" w:rsidRPr="00AC1222" w:rsidRDefault="00AC1222" w:rsidP="00AC1222">
            <w:pPr>
              <w:jc w:val="center"/>
              <w:rPr>
                <w:b/>
              </w:rPr>
            </w:pPr>
            <w:r w:rsidRPr="00AC1222">
              <w:rPr>
                <w:b/>
              </w:rPr>
              <w:t>Module 2</w:t>
            </w:r>
          </w:p>
        </w:tc>
      </w:tr>
      <w:tr w:rsidR="00AC1222" w:rsidTr="00AC1222">
        <w:tc>
          <w:tcPr>
            <w:tcW w:w="1951" w:type="dxa"/>
            <w:tcBorders>
              <w:right w:val="nil"/>
            </w:tcBorders>
          </w:tcPr>
          <w:p w:rsidR="00AC1222" w:rsidRDefault="00AC1222" w:rsidP="00AC1222">
            <w:r>
              <w:t xml:space="preserve">Tuesday </w:t>
            </w:r>
          </w:p>
          <w:p w:rsidR="00AC1222" w:rsidRDefault="00AC1222" w:rsidP="00AC1222">
            <w:r>
              <w:t>Wednesday</w:t>
            </w:r>
          </w:p>
          <w:p w:rsidR="00AC1222" w:rsidRDefault="00AC1222" w:rsidP="00AC1222">
            <w:r>
              <w:t>Thursday</w:t>
            </w:r>
          </w:p>
        </w:tc>
        <w:tc>
          <w:tcPr>
            <w:tcW w:w="1418" w:type="dxa"/>
            <w:tcBorders>
              <w:left w:val="nil"/>
            </w:tcBorders>
          </w:tcPr>
          <w:p w:rsidR="00AC1222" w:rsidRDefault="00AC1222" w:rsidP="00AC1222">
            <w:r>
              <w:t>January 1</w:t>
            </w:r>
            <w:r w:rsidR="00A00BFF">
              <w:t>7</w:t>
            </w:r>
            <w:r w:rsidRPr="00AC1222">
              <w:rPr>
                <w:vertAlign w:val="superscript"/>
              </w:rPr>
              <w:t>th</w:t>
            </w:r>
          </w:p>
          <w:p w:rsidR="00AC1222" w:rsidRDefault="00AC1222" w:rsidP="00AC1222">
            <w:r>
              <w:t>January 1</w:t>
            </w:r>
            <w:r w:rsidR="00A00BFF">
              <w:t>8</w:t>
            </w:r>
            <w:r w:rsidRPr="00AC1222">
              <w:rPr>
                <w:vertAlign w:val="superscript"/>
              </w:rPr>
              <w:t>th</w:t>
            </w:r>
          </w:p>
          <w:p w:rsidR="00AC1222" w:rsidRDefault="00AC1222" w:rsidP="00AC1222">
            <w:r>
              <w:t>January 1</w:t>
            </w:r>
            <w:r w:rsidR="00A00BFF">
              <w:t>9</w:t>
            </w:r>
            <w:r w:rsidRPr="00AC1222">
              <w:rPr>
                <w:vertAlign w:val="superscript"/>
              </w:rPr>
              <w:t>th</w:t>
            </w:r>
          </w:p>
        </w:tc>
        <w:tc>
          <w:tcPr>
            <w:tcW w:w="1984"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701" w:type="dxa"/>
            <w:tcBorders>
              <w:left w:val="nil"/>
            </w:tcBorders>
          </w:tcPr>
          <w:p w:rsidR="00AC1222" w:rsidRDefault="00AC1222" w:rsidP="00AC1222">
            <w:r>
              <w:t xml:space="preserve">September </w:t>
            </w:r>
            <w:r w:rsidR="00A00BFF">
              <w:t>5</w:t>
            </w:r>
            <w:r w:rsidRPr="00AC1222">
              <w:rPr>
                <w:vertAlign w:val="superscript"/>
              </w:rPr>
              <w:t>th</w:t>
            </w:r>
          </w:p>
          <w:p w:rsidR="00AC1222" w:rsidRDefault="00AC1222" w:rsidP="00AC1222">
            <w:r>
              <w:t xml:space="preserve">September </w:t>
            </w:r>
            <w:r w:rsidR="00A00BFF">
              <w:t>6</w:t>
            </w:r>
            <w:r w:rsidRPr="00AC1222">
              <w:rPr>
                <w:vertAlign w:val="superscript"/>
              </w:rPr>
              <w:t>th</w:t>
            </w:r>
          </w:p>
          <w:p w:rsidR="00AC1222" w:rsidRDefault="00AC1222" w:rsidP="00AC1222">
            <w:r>
              <w:t xml:space="preserve">September </w:t>
            </w:r>
            <w:r w:rsidR="00A00BFF">
              <w:t>7</w:t>
            </w:r>
            <w:r w:rsidRPr="00AC1222">
              <w:rPr>
                <w:vertAlign w:val="superscript"/>
              </w:rPr>
              <w:t>th</w:t>
            </w:r>
          </w:p>
        </w:tc>
      </w:tr>
      <w:tr w:rsidR="00AC1222" w:rsidTr="00AC1222">
        <w:tc>
          <w:tcPr>
            <w:tcW w:w="1951"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418" w:type="dxa"/>
            <w:tcBorders>
              <w:left w:val="nil"/>
            </w:tcBorders>
          </w:tcPr>
          <w:p w:rsidR="00AC1222" w:rsidRDefault="00AC1222" w:rsidP="00AC1222">
            <w:r>
              <w:t xml:space="preserve">March </w:t>
            </w:r>
            <w:r w:rsidR="00A00BFF">
              <w:t>7</w:t>
            </w:r>
            <w:r w:rsidRPr="00AC1222">
              <w:rPr>
                <w:vertAlign w:val="superscript"/>
              </w:rPr>
              <w:t>th</w:t>
            </w:r>
          </w:p>
          <w:p w:rsidR="00AC1222" w:rsidRDefault="00AC1222" w:rsidP="00AC1222">
            <w:r>
              <w:t xml:space="preserve">March </w:t>
            </w:r>
            <w:r w:rsidR="00A00BFF">
              <w:t>8</w:t>
            </w:r>
            <w:r w:rsidRPr="00AC1222">
              <w:rPr>
                <w:vertAlign w:val="superscript"/>
              </w:rPr>
              <w:t>th</w:t>
            </w:r>
          </w:p>
          <w:p w:rsidR="00AC1222" w:rsidRDefault="00AC1222" w:rsidP="00AC1222">
            <w:r>
              <w:t xml:space="preserve">March </w:t>
            </w:r>
            <w:r w:rsidR="00A00BFF">
              <w:t>9</w:t>
            </w:r>
            <w:r w:rsidRPr="00AC1222">
              <w:rPr>
                <w:vertAlign w:val="superscript"/>
              </w:rPr>
              <w:t>th</w:t>
            </w:r>
          </w:p>
        </w:tc>
        <w:tc>
          <w:tcPr>
            <w:tcW w:w="1984" w:type="dxa"/>
            <w:tcBorders>
              <w:right w:val="nil"/>
            </w:tcBorders>
          </w:tcPr>
          <w:p w:rsidR="00AC1222" w:rsidRDefault="00AC1222" w:rsidP="00AC1222">
            <w:r>
              <w:t>Tuesday</w:t>
            </w:r>
          </w:p>
          <w:p w:rsidR="00AC1222" w:rsidRDefault="00AC1222" w:rsidP="00AC1222">
            <w:r>
              <w:t>Wednesday</w:t>
            </w:r>
          </w:p>
          <w:p w:rsidR="00AC1222" w:rsidRDefault="00AC1222" w:rsidP="00AC1222">
            <w:r>
              <w:t>Thursday</w:t>
            </w:r>
          </w:p>
        </w:tc>
        <w:tc>
          <w:tcPr>
            <w:tcW w:w="1701" w:type="dxa"/>
            <w:tcBorders>
              <w:left w:val="nil"/>
            </w:tcBorders>
          </w:tcPr>
          <w:p w:rsidR="00AC1222" w:rsidRDefault="00AC1222" w:rsidP="00AC1222">
            <w:r>
              <w:t>October 1</w:t>
            </w:r>
            <w:r w:rsidR="00A00BFF">
              <w:t>0</w:t>
            </w:r>
            <w:r w:rsidRPr="00AC1222">
              <w:rPr>
                <w:vertAlign w:val="superscript"/>
              </w:rPr>
              <w:t>th</w:t>
            </w:r>
          </w:p>
          <w:p w:rsidR="00AC1222" w:rsidRDefault="00AC1222" w:rsidP="00AC1222">
            <w:r>
              <w:t>October 1</w:t>
            </w:r>
            <w:r w:rsidR="00A00BFF">
              <w:t>1</w:t>
            </w:r>
            <w:r w:rsidRPr="00AC1222">
              <w:rPr>
                <w:vertAlign w:val="superscript"/>
              </w:rPr>
              <w:t>th</w:t>
            </w:r>
          </w:p>
          <w:p w:rsidR="00AC1222" w:rsidRDefault="00AC1222" w:rsidP="00AC1222">
            <w:r>
              <w:t>October 1</w:t>
            </w:r>
            <w:r w:rsidR="00A00BFF">
              <w:t>2</w:t>
            </w:r>
            <w:r w:rsidRPr="00AC1222">
              <w:rPr>
                <w:vertAlign w:val="superscript"/>
              </w:rPr>
              <w:t>th</w:t>
            </w:r>
          </w:p>
        </w:tc>
      </w:tr>
    </w:tbl>
    <w:p w:rsidR="000E5373" w:rsidRDefault="00801D5C" w:rsidP="00AC1222"/>
    <w:p w:rsidR="00F62265" w:rsidRDefault="00F62265" w:rsidP="00AC1222"/>
    <w:p w:rsidR="00F62265" w:rsidRDefault="00F62265" w:rsidP="00AC1222"/>
    <w:p w:rsidR="00F62265" w:rsidRDefault="00F62265" w:rsidP="00F62265">
      <w:pPr>
        <w:jc w:val="center"/>
      </w:pPr>
    </w:p>
    <w:p w:rsidR="005E1E1E" w:rsidRPr="005E1E1E" w:rsidRDefault="005E1E1E" w:rsidP="00F62265">
      <w:pPr>
        <w:jc w:val="center"/>
        <w:rPr>
          <w:rFonts w:ascii="Arial" w:hAnsi="Arial" w:cs="Arial"/>
        </w:rPr>
      </w:pPr>
      <w:r w:rsidRPr="005E1E1E">
        <w:rPr>
          <w:rFonts w:ascii="Arial" w:hAnsi="Arial" w:cs="Arial"/>
          <w:b/>
        </w:rPr>
        <w:t>Fees</w:t>
      </w:r>
      <w:r w:rsidRPr="005E1E1E">
        <w:rPr>
          <w:rFonts w:ascii="Arial" w:hAnsi="Arial" w:cs="Arial"/>
        </w:rPr>
        <w:t xml:space="preserve"> </w:t>
      </w:r>
    </w:p>
    <w:p w:rsidR="005E1E1E" w:rsidRDefault="005E1E1E" w:rsidP="00F62265">
      <w:pPr>
        <w:jc w:val="center"/>
        <w:rPr>
          <w:rFonts w:ascii="Arial" w:hAnsi="Arial" w:cs="Arial"/>
        </w:rPr>
      </w:pPr>
      <w:r w:rsidRPr="005E1E1E">
        <w:rPr>
          <w:rFonts w:ascii="Arial" w:hAnsi="Arial" w:cs="Arial"/>
        </w:rPr>
        <w:t xml:space="preserve">£1,950 per individual module. Booking both modules reduces the fees to £3,700. </w:t>
      </w:r>
    </w:p>
    <w:p w:rsidR="00A00BFF" w:rsidRDefault="00F62265" w:rsidP="00F62265">
      <w:pPr>
        <w:jc w:val="center"/>
        <w:rPr>
          <w:b/>
          <w:bCs/>
        </w:rPr>
      </w:pPr>
      <w:r w:rsidRPr="00F62265">
        <w:t>For more information and to book your place on this course please contact:</w:t>
      </w:r>
      <w:r>
        <w:br/>
      </w:r>
      <w:hyperlink r:id="rId5" w:history="1">
        <w:r w:rsidR="00A00BFF" w:rsidRPr="001E7383">
          <w:rPr>
            <w:rStyle w:val="Hyperlink"/>
            <w:b/>
            <w:bCs/>
          </w:rPr>
          <w:t>josh.edgar@mft.nhs.uk</w:t>
        </w:r>
      </w:hyperlink>
    </w:p>
    <w:p w:rsidR="00F62265" w:rsidRDefault="00F62265" w:rsidP="00F62265">
      <w:pPr>
        <w:jc w:val="center"/>
      </w:pPr>
      <w:r w:rsidRPr="00F62265">
        <w:rPr>
          <w:b/>
          <w:bCs/>
        </w:rPr>
        <w:t>0161 276 6515</w:t>
      </w:r>
    </w:p>
    <w:sectPr w:rsidR="00F62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22"/>
    <w:rsid w:val="000913F8"/>
    <w:rsid w:val="0028568E"/>
    <w:rsid w:val="00392254"/>
    <w:rsid w:val="005E1E1E"/>
    <w:rsid w:val="0069658C"/>
    <w:rsid w:val="00801D5C"/>
    <w:rsid w:val="009655C2"/>
    <w:rsid w:val="00A00BFF"/>
    <w:rsid w:val="00A155AA"/>
    <w:rsid w:val="00AC1222"/>
    <w:rsid w:val="00B00813"/>
    <w:rsid w:val="00C33589"/>
    <w:rsid w:val="00F6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CC59"/>
  <w15:docId w15:val="{E3F19935-963E-40D1-AAAC-F03DDE6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5E1E1E"/>
    <w:pPr>
      <w:keepNext/>
      <w:spacing w:after="0" w:line="240" w:lineRule="auto"/>
      <w:outlineLvl w:val="4"/>
    </w:pPr>
    <w:rPr>
      <w:rFonts w:ascii="Arial" w:eastAsia="Times New Roman" w:hAnsi="Arial" w:cs="Arial"/>
      <w:b/>
      <w:bCs/>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2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C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22"/>
    <w:rPr>
      <w:rFonts w:ascii="Tahoma" w:hAnsi="Tahoma" w:cs="Tahoma"/>
      <w:sz w:val="16"/>
      <w:szCs w:val="16"/>
    </w:rPr>
  </w:style>
  <w:style w:type="character" w:styleId="Hyperlink">
    <w:name w:val="Hyperlink"/>
    <w:basedOn w:val="DefaultParagraphFont"/>
    <w:uiPriority w:val="99"/>
    <w:unhideWhenUsed/>
    <w:rsid w:val="00F62265"/>
    <w:rPr>
      <w:color w:val="0000FF" w:themeColor="hyperlink"/>
      <w:u w:val="single"/>
    </w:rPr>
  </w:style>
  <w:style w:type="character" w:customStyle="1" w:styleId="Heading5Char">
    <w:name w:val="Heading 5 Char"/>
    <w:basedOn w:val="DefaultParagraphFont"/>
    <w:link w:val="Heading5"/>
    <w:rsid w:val="005E1E1E"/>
    <w:rPr>
      <w:rFonts w:ascii="Arial" w:eastAsia="Times New Roman" w:hAnsi="Arial" w:cs="Arial"/>
      <w:b/>
      <w:bCs/>
      <w:sz w:val="18"/>
      <w:szCs w:val="24"/>
      <w:lang w:val="en-US"/>
    </w:rPr>
  </w:style>
  <w:style w:type="character" w:styleId="UnresolvedMention">
    <w:name w:val="Unresolved Mention"/>
    <w:basedOn w:val="DefaultParagraphFont"/>
    <w:uiPriority w:val="99"/>
    <w:semiHidden/>
    <w:unhideWhenUsed/>
    <w:rsid w:val="00A0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edgar@mft.nhs.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Josh (R0A) Manchester University NHS FT</dc:creator>
  <cp:lastModifiedBy>Edgar Josh (R0A) Manchester University NHS FT</cp:lastModifiedBy>
  <cp:revision>4</cp:revision>
  <dcterms:created xsi:type="dcterms:W3CDTF">2022-06-15T08:32:00Z</dcterms:created>
  <dcterms:modified xsi:type="dcterms:W3CDTF">2022-10-19T10:12:00Z</dcterms:modified>
</cp:coreProperties>
</file>